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Итоговая информация по рассмотрению обращений граждан в 2021 году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 течение 2021 года в Администрацию района поступило </w:t>
      </w:r>
      <w:r>
        <w:rPr>
          <w:rFonts w:cs="Times New Roman" w:ascii="Times New Roman" w:hAnsi="Times New Roman"/>
          <w:b/>
          <w:sz w:val="26"/>
          <w:szCs w:val="26"/>
        </w:rPr>
        <w:t>1535</w:t>
      </w:r>
      <w:r>
        <w:rPr>
          <w:rFonts w:cs="Times New Roman" w:ascii="Times New Roman" w:hAnsi="Times New Roman"/>
          <w:sz w:val="26"/>
          <w:szCs w:val="26"/>
        </w:rPr>
        <w:t xml:space="preserve"> обращений граждан, объединений граждан и юридических лиц (далее – обращения; обращения граждан), в которых поставлено </w:t>
      </w:r>
      <w:r>
        <w:rPr>
          <w:rFonts w:cs="Times New Roman" w:ascii="Times New Roman" w:hAnsi="Times New Roman"/>
          <w:b/>
          <w:sz w:val="26"/>
          <w:szCs w:val="26"/>
        </w:rPr>
        <w:t>1978</w:t>
      </w:r>
      <w:r>
        <w:rPr>
          <w:rFonts w:cs="Times New Roman" w:ascii="Times New Roman" w:hAnsi="Times New Roman"/>
          <w:sz w:val="26"/>
          <w:szCs w:val="26"/>
        </w:rPr>
        <w:t xml:space="preserve"> вопросов.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Сравнительный анализ 2020–2021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64"/>
        <w:gridCol w:w="1609"/>
        <w:gridCol w:w="1445"/>
        <w:gridCol w:w="1552"/>
      </w:tblGrid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Количество  обращений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2020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2021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Показатель изменения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1463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1535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+ 5%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письменной форме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366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345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- 5%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В электронном виде через Интернет-приемную Администрации района, в ГИС ЖКХ либо электронные, поступившие                    в порядке переадресации    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672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838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+ 25%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электронном виде через систему ПОС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148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+ 148%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электронном виде через систему                  «ОНФ. Помощь»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15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+ 15%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                                                                    </w:t>
            </w:r>
            <w:r>
              <w:rPr>
                <w:rFonts w:cs="Times New Roman" w:ascii="Times New Roman" w:hAnsi="Times New Roman"/>
                <w:i/>
              </w:rPr>
              <w:t xml:space="preserve">Итого по электронным обращениям                          </w:t>
            </w:r>
            <w:r>
              <w:rPr>
                <w:rFonts w:cs="Times New Roman" w:ascii="Times New Roman" w:hAnsi="Times New Roman"/>
                <w:b/>
                <w:i/>
              </w:rPr>
              <w:t>+ 49%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устном виде на личных приемах Главы Металлургического района и его заместителей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25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44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+ 76%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устном виде в структурных подразделениях Администрации района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400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145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- 74%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ИТОГО,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1463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1535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+ 5%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Повторных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17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23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+ 35%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Благодарностей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18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15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- 17%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По способу рассмотрения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Рассмотрено коллегиально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222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266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+ 20%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Рассмотрено с выходом на место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214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264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+ 23%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Рассмотрено с участием авторов обращений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31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49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+ 60%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8"/>
                <w:szCs w:val="8"/>
              </w:rPr>
            </w:pPr>
            <w:r>
              <w:rPr>
                <w:rFonts w:cs="Times New Roman" w:ascii="Times New Roman" w:hAnsi="Times New Roman"/>
                <w:i/>
                <w:sz w:val="8"/>
                <w:szCs w:val="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По результатам рассмотрения (с учетом переходящего остатка)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8"/>
                <w:szCs w:val="8"/>
              </w:rPr>
            </w:pPr>
            <w:r>
              <w:rPr>
                <w:rFonts w:cs="Times New Roman" w:ascii="Times New Roman" w:hAnsi="Times New Roman"/>
                <w:i/>
                <w:sz w:val="8"/>
                <w:szCs w:val="8"/>
              </w:rPr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Переадресовано в иные органы власти, ОМСУ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407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492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+ 21%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Поддержано без принятия мер 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139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217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+ 56%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Поддержано с принятием мер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448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263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- 59%</w:t>
            </w:r>
          </w:p>
        </w:tc>
      </w:tr>
      <w:tr>
        <w:trPr>
          <w:trHeight w:val="320" w:hRule="atLeast"/>
        </w:trPr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Разъяснено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428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441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+ 3%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Оставлено без ответа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23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17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- 16%</w:t>
            </w:r>
          </w:p>
        </w:tc>
      </w:tr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Запросов по обращениям  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40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103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center" w:pos="47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+ 158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Из представленной таблицы следует, что общее количество поступивших обращений по сравнению с 2020 годом увеличилось всего на 5%, что составляет 72 обращения в абсолютных цифрах.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 1,5 раза увеличилось числа электронных обращений, что связано                  с появлением новых электронных площадок для размещения обращений граждан (ГИС ЖКХ, ПОС, система «ОНФ. Помощь»).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Увеличилась и активность граждан, обратившихся  на личный прием к Главе Металлургического района и его заместителям: 44 человека по сравнению с 25, принятыми в 2020 году.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2021 году ответы в сокращенные сроки даны на 592 обращения. Таким образом, более трети всех обращений и почти половина письменных обращений рассмотрены в сокращенные сроки.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 2021 году  выявлены следующие вопросы повышенной активности граждан: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предоставление коммунальной услуги по теплоснабжению жилых помещений ненадлежащего качества (в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и  </w:t>
      </w:r>
      <w:r>
        <w:rPr>
          <w:rFonts w:cs="Times New Roman" w:ascii="Times New Roman" w:hAnsi="Times New Roman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sz w:val="26"/>
          <w:szCs w:val="26"/>
        </w:rPr>
        <w:t xml:space="preserve"> кварталах 2021 года);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ненадлежащая очистка дорог, проездов и дворовых территорий от снега               и наледи (в 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 квартале 2021 года).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Существенное количество  рассмотренных обращений связано с вопросами: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содержания общего имущества многоквартирных домов и дворовых территорий (4,2% рассмотренных обращений);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обрезки деревьев (4,1 % рассмотренных обращений);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комплексного благоустройства дворовых территорий и общественных пространств (4,1% рассмотренных обращений).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Кроме того, в 2021 в Администрацию района поступили  и рассмотрены обращения  по вопросам: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перебоев в предоставлении коммунальных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комплексного благоустройства общественных пространств;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ремонта проездов и внутридворовых дорог;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санитарного состояния территории;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деятельности предприятий торговли;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обращения с твёрдыми коммунальными отходами;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мерах к закрытию  люка колодца;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восстановления благоустройства после ремонтных работ на наружных сетях.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вопросам наибольшей активности граждан в Администрации района приняты меры управляющего воздействия: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проведение оперативных штабов с участием сетевых ресурсоснабжающих организаций и управляющих компаний;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проведение регулярных обходов территории с привлечением представителей управляющих компаний и подрядных организаций, осуществляющих уборку снега и наледи на территории район;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размещение информации на официальном сайте и в официальных аккаунтах в сети Интернет о порядке действий для оперативного решения конкретных вопросов.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повышения эффективности работы с обращениями и уровня удовлетворенности граждан с 2019 года в Администрации  района используется  практика внутреннего (длительного) контроля за исполнением сроков, о которых авторы обращения оповещены в ответах на их письма, в случае, если сроки исполнения превышают допустимые установленные законодательством сроки для рассмотрения обращений. В 2021 году на внутреннем контроле было оставлено 159, или каждое десятое, обращение, что в 1,5 раза больше, чем в 2020 году.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2021 году в Администрацию района по результатам рассмотрения обращений поступило 15 благодарностей. С началом работы платформы обратной связи на Едином портале государственных и муниципальных услуг (далее – система ПОС) у граждан появилась еще одна возможность дать свою оценку органам власти, местного самоуправления и организациям за работу                         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с  обращениями. В системе ПОС определена медианная оценка качества работы Администрации района – 5 баллов.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3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3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D2B1-7BDE-480F-B48D-BB944084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LibreOffice/6.4.6.2$Linux_X86_64 LibreOffice_project/40$Build-2</Application>
  <Pages>3</Pages>
  <Words>662</Words>
  <Characters>4023</Characters>
  <CharactersWithSpaces>4796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2022-04-06T05:22:00Z</dcterms:created>
  <dc:creator>Саяпина Ирина Павловна</dc:creator>
  <dc:description/>
  <dc:language>ru-RU</dc:language>
  <cp:lastModifiedBy/>
  <cp:lastPrinted>2022-04-06T06:32:00Z</cp:lastPrinted>
  <dcterms:modified xsi:type="dcterms:W3CDTF">2022-04-11T09:15:19Z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